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63B91A">
      <w:pPr>
        <w:spacing w:after="0" w:line="240" w:lineRule="auto"/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Решить</w:t>
      </w:r>
      <w:r>
        <w:rPr>
          <w:rFonts w:hint="default" w:ascii="Times New Roman" w:hAnsi="Times New Roman" w:cs="Times New Roman"/>
          <w:sz w:val="28"/>
          <w:szCs w:val="28"/>
          <w:lang w:val="kk-KZ"/>
        </w:rPr>
        <w:t xml:space="preserve"> задачу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Номер варианта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номер по списку в группе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).</w:t>
      </w:r>
    </w:p>
    <w:p w14:paraId="16CCA0DC">
      <w:pPr>
        <w:spacing w:after="0" w:line="240" w:lineRule="auto"/>
        <w:jc w:val="both"/>
        <w:rPr>
          <w:rFonts w:hint="default" w:ascii="Times New Roman" w:hAnsi="Times New Roman" w:cs="Times New Roman"/>
          <w:b/>
          <w:sz w:val="28"/>
          <w:szCs w:val="28"/>
          <w:lang w:val="ru-RU"/>
        </w:rPr>
      </w:pPr>
    </w:p>
    <w:p w14:paraId="3E7626D9">
      <w:pPr>
        <w:spacing w:after="0" w:line="240" w:lineRule="auto"/>
        <w:jc w:val="both"/>
        <w:rPr>
          <w:rFonts w:hint="default" w:ascii="Times New Roman" w:hAnsi="Times New Roman" w:cs="Times New Roman"/>
          <w:b/>
          <w:sz w:val="28"/>
          <w:szCs w:val="28"/>
          <w:lang w:val="kk-KZ"/>
        </w:rPr>
      </w:pPr>
      <w:r>
        <w:rPr>
          <w:rFonts w:hint="default" w:ascii="Times New Roman" w:hAnsi="Times New Roman" w:cs="Times New Roman"/>
          <w:b/>
          <w:sz w:val="28"/>
          <w:szCs w:val="28"/>
          <w:lang w:val="kk-KZ"/>
        </w:rPr>
        <w:t xml:space="preserve"> </w:t>
      </w:r>
      <w:bookmarkStart w:id="0" w:name="_GoBack"/>
      <w:bookmarkEnd w:id="0"/>
    </w:p>
    <w:p w14:paraId="5A602E8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Эффективность классификации</w:t>
      </w:r>
    </w:p>
    <w:p w14:paraId="657AFA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622BB0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Качественно классификация оценивается показателем, который называется эфективностью классификации. Различают общую и уточненную эффективности классификации.</w:t>
      </w:r>
    </w:p>
    <w:p w14:paraId="67B70B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Общая эффективность классификации Е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это отношение массы определенного класса, по которому определяют эффективность в сливе (мелком продукте), к массе этого же класса в исходном материале. Иначе говоря, это общее извлечение интересующего класса в слив (мелкий продукт).</w:t>
      </w:r>
    </w:p>
    <w:p w14:paraId="6FFFD7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Уточненная эффективность классификации Е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ут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это отношение массы «действительно отклассифицированного» класса в слив к массе этого же класса в исходном материале. Она определяется с учетом того, что в слив могут попасть зерна разной крупности (не только мелкого класса, как при грохочении), т.е. слив частично загрязнен исходным материалом.</w:t>
      </w:r>
    </w:p>
    <w:p w14:paraId="2C19FF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Эффективность классификации в процентах рассчитывают обычно по результатам ситового анализа исходного материала и продуктов классификации по формулам: </w:t>
      </w:r>
    </w:p>
    <w:p w14:paraId="4CE603A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626E771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25" o:spt="75" type="#_x0000_t75" style="height:31.5pt;width:51pt;" o:ole="t" fillcolor="#FFFFFF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6">
            <o:LockedField>false</o:LockedField>
          </o:OLEObject>
        </w:object>
      </w:r>
    </w:p>
    <w:p w14:paraId="41D1A8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1EBC33A0">
      <w:pPr>
        <w:spacing w:after="0" w:line="240" w:lineRule="auto"/>
        <w:jc w:val="center"/>
        <w:rPr>
          <w:rFonts w:ascii="Times New Roman" w:hAnsi="Times New Roman" w:cs="Times New Roman"/>
          <w:position w:val="-24"/>
          <w:sz w:val="28"/>
          <w:szCs w:val="28"/>
        </w:rPr>
      </w:pP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26" o:spt="75" type="#_x0000_t75" style="height:31.5pt;width:88.5pt;" o:ole="t" fillcolor="#FFFFFF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Equation.3" ShapeID="_x0000_i1026" DrawAspect="Content" ObjectID="_1468075726" r:id="rId8">
            <o:LockedField>false</o:LockedField>
          </o:OLEObject>
        </w:object>
      </w:r>
    </w:p>
    <w:p w14:paraId="61725CD0">
      <w:pPr>
        <w:spacing w:after="0" w:line="240" w:lineRule="auto"/>
        <w:jc w:val="center"/>
        <w:rPr>
          <w:rFonts w:ascii="Times New Roman" w:hAnsi="Times New Roman" w:cs="Times New Roman"/>
          <w:position w:val="-24"/>
          <w:sz w:val="28"/>
          <w:szCs w:val="28"/>
        </w:rPr>
      </w:pPr>
    </w:p>
    <w:p w14:paraId="443D62BE">
      <w:pPr>
        <w:spacing w:after="0" w:line="240" w:lineRule="auto"/>
        <w:rPr>
          <w:rFonts w:ascii="Times New Roman" w:hAnsi="Times New Roman" w:cs="Times New Roman"/>
          <w:position w:val="-24"/>
          <w:sz w:val="28"/>
          <w:szCs w:val="28"/>
        </w:rPr>
      </w:pPr>
      <w:r>
        <w:rPr>
          <w:rFonts w:ascii="Times New Roman" w:hAnsi="Times New Roman" w:cs="Times New Roman"/>
          <w:position w:val="-24"/>
          <w:sz w:val="28"/>
          <w:szCs w:val="28"/>
        </w:rPr>
        <w:tab/>
      </w:r>
      <w:r>
        <w:rPr>
          <w:rFonts w:ascii="Times New Roman" w:hAnsi="Times New Roman" w:cs="Times New Roman"/>
          <w:position w:val="-24"/>
          <w:sz w:val="28"/>
          <w:szCs w:val="28"/>
        </w:rPr>
        <w:t>выход слива</w:t>
      </w:r>
    </w:p>
    <w:p w14:paraId="711A82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42A018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position w:val="-28"/>
          <w:sz w:val="28"/>
          <w:szCs w:val="28"/>
        </w:rPr>
        <w:object>
          <v:shape id="_x0000_i1027" o:spt="75" type="#_x0000_t75" style="height:33pt;width:67.5pt;" o:ole="t" fillcolor="#FFFFFF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3" ShapeID="_x0000_i1027" DrawAspect="Content" ObjectID="_1468075727" r:id="rId10">
            <o:LockedField>false</o:LockedField>
          </o:OLEObject>
        </w:object>
      </w:r>
    </w:p>
    <w:p w14:paraId="0E5919A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0CDFC8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где α, β и θ – содержание класса, по которому определяют эффективность соответственно в исходном материале, сливе (мелком продукте) и в песках (крупном продукте), %.</w:t>
      </w:r>
    </w:p>
    <w:p w14:paraId="2F20D0A4"/>
    <w:p w14:paraId="231655F2"/>
    <w:p w14:paraId="6F9F0D88"/>
    <w:p w14:paraId="1FFE30FD"/>
    <w:p w14:paraId="4234FBC4"/>
    <w:p w14:paraId="27DF6017"/>
    <w:p w14:paraId="568B072B"/>
    <w:p w14:paraId="358FE8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1)</w:t>
      </w:r>
      <w:r>
        <w:rPr>
          <w:rFonts w:ascii="Times New Roman" w:hAnsi="Times New Roman" w:cs="Times New Roman"/>
          <w:sz w:val="28"/>
          <w:szCs w:val="28"/>
        </w:rPr>
        <w:t xml:space="preserve"> По результатам ситового анализа продуктов классификации определить общую и уточненную эффективность классификации по классу -0,045 мм. Содержание этого класса в исходном материале, сливе и песках составляет 45,1, 88,7 и 18,3%. </w:t>
      </w:r>
    </w:p>
    <w:p w14:paraId="101C80F1"/>
    <w:p w14:paraId="72B367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2)</w:t>
      </w:r>
      <w:r>
        <w:rPr>
          <w:rFonts w:ascii="Times New Roman" w:hAnsi="Times New Roman" w:cs="Times New Roman"/>
          <w:sz w:val="28"/>
          <w:szCs w:val="28"/>
        </w:rPr>
        <w:t>По результатам ситового анализа, найти общую эффективность классификации по классу -0,15 мм и узкому классу -0,074+0,052 мм.</w:t>
      </w:r>
    </w:p>
    <w:p w14:paraId="052991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класса, %</w:t>
      </w:r>
    </w:p>
    <w:p w14:paraId="4E30B0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7"/>
        <w:gridCol w:w="2159"/>
        <w:gridCol w:w="2056"/>
        <w:gridCol w:w="2080"/>
      </w:tblGrid>
      <w:tr w14:paraId="6BE98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vAlign w:val="center"/>
          </w:tcPr>
          <w:p w14:paraId="523CF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Класс крупности, мм</w:t>
            </w:r>
          </w:p>
        </w:tc>
        <w:tc>
          <w:tcPr>
            <w:tcW w:w="2393" w:type="dxa"/>
            <w:vAlign w:val="center"/>
          </w:tcPr>
          <w:p w14:paraId="22153E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Исходный материал</w:t>
            </w:r>
          </w:p>
        </w:tc>
        <w:tc>
          <w:tcPr>
            <w:tcW w:w="2393" w:type="dxa"/>
            <w:vAlign w:val="center"/>
          </w:tcPr>
          <w:p w14:paraId="53B0D8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Слив</w:t>
            </w:r>
          </w:p>
        </w:tc>
        <w:tc>
          <w:tcPr>
            <w:tcW w:w="2393" w:type="dxa"/>
            <w:vAlign w:val="center"/>
          </w:tcPr>
          <w:p w14:paraId="3B3E92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Пески</w:t>
            </w:r>
          </w:p>
        </w:tc>
      </w:tr>
      <w:tr w14:paraId="54047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vAlign w:val="center"/>
          </w:tcPr>
          <w:p w14:paraId="0CF864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-1+0,5</w:t>
            </w:r>
          </w:p>
          <w:p w14:paraId="5522D9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-0,5+0,25</w:t>
            </w:r>
          </w:p>
          <w:p w14:paraId="15B866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-0,25+0,15</w:t>
            </w:r>
          </w:p>
          <w:p w14:paraId="7C2915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-0,15+0,074</w:t>
            </w:r>
          </w:p>
          <w:p w14:paraId="1C081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-0,074+0,052</w:t>
            </w:r>
          </w:p>
          <w:p w14:paraId="1AB292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-0,052</w:t>
            </w:r>
          </w:p>
        </w:tc>
        <w:tc>
          <w:tcPr>
            <w:tcW w:w="2393" w:type="dxa"/>
            <w:vAlign w:val="center"/>
          </w:tcPr>
          <w:p w14:paraId="51D6E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</w:t>
            </w:r>
          </w:p>
          <w:p w14:paraId="0A099C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  <w:p w14:paraId="3DC9B7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  <w:p w14:paraId="04AE6A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</w:p>
          <w:p w14:paraId="5BC9F1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  <w:p w14:paraId="701B41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2393" w:type="dxa"/>
            <w:vAlign w:val="center"/>
          </w:tcPr>
          <w:p w14:paraId="1E991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</w:t>
            </w:r>
          </w:p>
          <w:p w14:paraId="7AC540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</w:t>
            </w:r>
          </w:p>
          <w:p w14:paraId="14B4B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  <w:p w14:paraId="7FA4F2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47</w:t>
            </w:r>
          </w:p>
          <w:p w14:paraId="705B81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25</w:t>
            </w:r>
          </w:p>
          <w:p w14:paraId="731D34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</w:tc>
        <w:tc>
          <w:tcPr>
            <w:tcW w:w="2393" w:type="dxa"/>
            <w:vAlign w:val="center"/>
          </w:tcPr>
          <w:p w14:paraId="2512D1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60</w:t>
            </w:r>
          </w:p>
          <w:p w14:paraId="5964EC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</w:t>
            </w:r>
          </w:p>
          <w:p w14:paraId="77AF94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</w:t>
            </w:r>
          </w:p>
          <w:p w14:paraId="3B7A75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  <w:p w14:paraId="656B7A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  <w:p w14:paraId="636564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</w:tr>
      <w:tr w14:paraId="07EC5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vAlign w:val="center"/>
          </w:tcPr>
          <w:p w14:paraId="7955DE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93" w:type="dxa"/>
            <w:vAlign w:val="center"/>
          </w:tcPr>
          <w:p w14:paraId="276048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100,0</w:t>
            </w:r>
          </w:p>
        </w:tc>
        <w:tc>
          <w:tcPr>
            <w:tcW w:w="2393" w:type="dxa"/>
            <w:vAlign w:val="center"/>
          </w:tcPr>
          <w:p w14:paraId="57C310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100,0</w:t>
            </w:r>
          </w:p>
        </w:tc>
        <w:tc>
          <w:tcPr>
            <w:tcW w:w="2393" w:type="dxa"/>
            <w:vAlign w:val="center"/>
          </w:tcPr>
          <w:p w14:paraId="3ED456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</w:t>
            </w:r>
          </w:p>
        </w:tc>
      </w:tr>
    </w:tbl>
    <w:p w14:paraId="741E2165"/>
    <w:p w14:paraId="66A8F9DF"/>
    <w:p w14:paraId="7BB7E82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результатам ситового анализа продуктов классификации определить общую и уточненную эффективность классификации по классу -0,1 мм. Содержание этого класса в исходном материале, сливе и песках составляет 20, 80 и 10% соответственно. </w:t>
      </w:r>
    </w:p>
    <w:p w14:paraId="335202E0"/>
    <w:p w14:paraId="63030CD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классификации получен слив, выход которого составляет 25%. Общая эффективность классификации по классу -0,15 мм равна 70%. Установить уточненную эффективность классификации по тому же классу и содержание его в сливе, если известно, что на классификацию поступил материал с 30% содержанием класса 0,15 мм. </w:t>
      </w:r>
    </w:p>
    <w:p w14:paraId="43F022E8">
      <w:pPr>
        <w:numPr>
          <w:ilvl w:val="0"/>
          <w:numId w:val="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EE5E2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По результатам ситового анализа продуктов классификации определить общую и уточненную эффективность классификации по классу -0,2 мм.</w:t>
      </w:r>
    </w:p>
    <w:p w14:paraId="7975ED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класса, %</w:t>
      </w:r>
    </w:p>
    <w:p w14:paraId="2D8F9A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9"/>
        <w:gridCol w:w="2164"/>
        <w:gridCol w:w="2063"/>
        <w:gridCol w:w="2086"/>
      </w:tblGrid>
      <w:tr w14:paraId="6424E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vAlign w:val="center"/>
          </w:tcPr>
          <w:p w14:paraId="0F8BD9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Класс крупности, мм</w:t>
            </w:r>
          </w:p>
        </w:tc>
        <w:tc>
          <w:tcPr>
            <w:tcW w:w="2393" w:type="dxa"/>
            <w:vAlign w:val="center"/>
          </w:tcPr>
          <w:p w14:paraId="234A8B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Исходный материал</w:t>
            </w:r>
          </w:p>
        </w:tc>
        <w:tc>
          <w:tcPr>
            <w:tcW w:w="2393" w:type="dxa"/>
            <w:vAlign w:val="center"/>
          </w:tcPr>
          <w:p w14:paraId="6C2190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Слив</w:t>
            </w:r>
          </w:p>
        </w:tc>
        <w:tc>
          <w:tcPr>
            <w:tcW w:w="2393" w:type="dxa"/>
            <w:vAlign w:val="center"/>
          </w:tcPr>
          <w:p w14:paraId="617365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Пески</w:t>
            </w:r>
          </w:p>
        </w:tc>
      </w:tr>
      <w:tr w14:paraId="4FD86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vAlign w:val="center"/>
          </w:tcPr>
          <w:p w14:paraId="2962C0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-3+1</w:t>
            </w:r>
          </w:p>
          <w:p w14:paraId="288C79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-1+0,5</w:t>
            </w:r>
          </w:p>
          <w:p w14:paraId="44E44C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-0,5+0,2</w:t>
            </w:r>
          </w:p>
          <w:p w14:paraId="210044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-0,2+0,1</w:t>
            </w:r>
          </w:p>
          <w:p w14:paraId="02E8C3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-0,1</w:t>
            </w:r>
          </w:p>
        </w:tc>
        <w:tc>
          <w:tcPr>
            <w:tcW w:w="2393" w:type="dxa"/>
            <w:vAlign w:val="center"/>
          </w:tcPr>
          <w:p w14:paraId="4C449D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  <w:p w14:paraId="1FCDC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25</w:t>
            </w:r>
          </w:p>
          <w:p w14:paraId="2CEF24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37</w:t>
            </w:r>
          </w:p>
          <w:p w14:paraId="784284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  <w:p w14:paraId="4B818B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2393" w:type="dxa"/>
            <w:vAlign w:val="center"/>
          </w:tcPr>
          <w:p w14:paraId="2FD353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</w:t>
            </w:r>
          </w:p>
          <w:p w14:paraId="068F5D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</w:t>
            </w:r>
          </w:p>
          <w:p w14:paraId="6E11C2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  <w:p w14:paraId="59983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60</w:t>
            </w:r>
          </w:p>
          <w:p w14:paraId="0DD75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</w:tc>
        <w:tc>
          <w:tcPr>
            <w:tcW w:w="2393" w:type="dxa"/>
            <w:vAlign w:val="center"/>
          </w:tcPr>
          <w:p w14:paraId="4BE6B3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</w:p>
          <w:p w14:paraId="229F4F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40</w:t>
            </w:r>
          </w:p>
          <w:p w14:paraId="39D7C7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35</w:t>
            </w:r>
          </w:p>
          <w:p w14:paraId="26052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  <w:p w14:paraId="5CBBD3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</w:tr>
      <w:tr w14:paraId="17450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vAlign w:val="center"/>
          </w:tcPr>
          <w:p w14:paraId="5889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93" w:type="dxa"/>
            <w:vAlign w:val="center"/>
          </w:tcPr>
          <w:p w14:paraId="6A3DA6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100,0</w:t>
            </w:r>
          </w:p>
        </w:tc>
        <w:tc>
          <w:tcPr>
            <w:tcW w:w="2393" w:type="dxa"/>
            <w:vAlign w:val="center"/>
          </w:tcPr>
          <w:p w14:paraId="4F1C58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100,0</w:t>
            </w:r>
          </w:p>
        </w:tc>
        <w:tc>
          <w:tcPr>
            <w:tcW w:w="2393" w:type="dxa"/>
            <w:vAlign w:val="center"/>
          </w:tcPr>
          <w:p w14:paraId="29ED6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</w:t>
            </w:r>
          </w:p>
        </w:tc>
      </w:tr>
    </w:tbl>
    <w:p w14:paraId="4C5665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40416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sz w:val="28"/>
          <w:szCs w:val="28"/>
        </w:rPr>
        <w:t xml:space="preserve"> Содержание класса -0,3 мм в исходном материале 25%. В продуктах классификации оно составило в сливе 80%, в песках – 10%. Определить общую и уточненную эффективность классификации по классу -0,3 мм.</w:t>
      </w:r>
    </w:p>
    <w:p w14:paraId="17CF50E9"/>
    <w:p w14:paraId="012316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sz w:val="28"/>
          <w:szCs w:val="28"/>
        </w:rPr>
        <w:t xml:space="preserve"> По результатам ситового анализа продуктов классификации определить общую и уточненную эффективность классификации по классу -0,5 мм. Содержание этого класса в исходном материале, сливе и песках составляет 15, 75 и 25% соответственно.</w:t>
      </w:r>
    </w:p>
    <w:p w14:paraId="2D2EE1D1"/>
    <w:p w14:paraId="693DD0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8.</w:t>
      </w:r>
      <w:r>
        <w:rPr>
          <w:rFonts w:ascii="Times New Roman" w:hAnsi="Times New Roman" w:cs="Times New Roman"/>
          <w:sz w:val="28"/>
          <w:szCs w:val="28"/>
        </w:rPr>
        <w:t xml:space="preserve"> При классификации получен слив, выход которого составляет 30%. Общая эффективность классификации по классу -3 мм равна 60%. Установить уточненную эффективность классификации по тому же классу и содержание его в сливе, если известно, что на классификацию поступил материал с 40% содержанием класса 3 мм.</w:t>
      </w:r>
    </w:p>
    <w:p w14:paraId="2FF2189B">
      <w:pPr>
        <w:rPr>
          <w:rFonts w:hint="default"/>
          <w:lang w:val="ru-RU"/>
        </w:rPr>
      </w:pPr>
    </w:p>
    <w:p w14:paraId="2FCC6F63">
      <w:pPr>
        <w:rPr>
          <w:rFonts w:hint="default"/>
          <w:lang w:val="ru-RU"/>
        </w:rPr>
      </w:pPr>
    </w:p>
    <w:p w14:paraId="590EE174">
      <w:pPr>
        <w:numPr>
          <w:ilvl w:val="0"/>
          <w:numId w:val="3"/>
        </w:numPr>
        <w:spacing w:after="0" w:line="240" w:lineRule="auto"/>
        <w:ind w:left="70" w:leftChars="0" w:firstLine="0" w:firstLineChars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результатам ситового анализа продуктов классификации определить общую и уточненную эффективность классификации по классу -0,3 мм.</w:t>
      </w:r>
    </w:p>
    <w:p w14:paraId="3E755E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класса, %</w:t>
      </w:r>
    </w:p>
    <w:p w14:paraId="4033A7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4"/>
        <w:gridCol w:w="2156"/>
        <w:gridCol w:w="2078"/>
        <w:gridCol w:w="2064"/>
      </w:tblGrid>
      <w:tr w14:paraId="3D8B8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3" w:type="dxa"/>
            <w:vAlign w:val="center"/>
          </w:tcPr>
          <w:p w14:paraId="6D0A7B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Класс крупности, мм</w:t>
            </w:r>
          </w:p>
        </w:tc>
        <w:tc>
          <w:tcPr>
            <w:tcW w:w="2339" w:type="dxa"/>
            <w:vAlign w:val="center"/>
          </w:tcPr>
          <w:p w14:paraId="162CC1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Исходный материал</w:t>
            </w:r>
          </w:p>
        </w:tc>
        <w:tc>
          <w:tcPr>
            <w:tcW w:w="2347" w:type="dxa"/>
            <w:vAlign w:val="center"/>
          </w:tcPr>
          <w:p w14:paraId="1CFBA9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Слив</w:t>
            </w:r>
          </w:p>
        </w:tc>
        <w:tc>
          <w:tcPr>
            <w:tcW w:w="2306" w:type="dxa"/>
            <w:vAlign w:val="center"/>
          </w:tcPr>
          <w:p w14:paraId="77B0EC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Пески</w:t>
            </w:r>
          </w:p>
        </w:tc>
      </w:tr>
      <w:tr w14:paraId="1C2DE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3" w:type="dxa"/>
            <w:vAlign w:val="center"/>
          </w:tcPr>
          <w:p w14:paraId="18BD02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+0,3</w:t>
            </w:r>
          </w:p>
          <w:p w14:paraId="2BA63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-0,3+0,15</w:t>
            </w:r>
          </w:p>
          <w:p w14:paraId="63DE83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-0,15+0,104</w:t>
            </w:r>
          </w:p>
          <w:p w14:paraId="2DF305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-0,104+0,074</w:t>
            </w:r>
          </w:p>
          <w:p w14:paraId="5FC196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-0,074+0</w:t>
            </w:r>
          </w:p>
          <w:p w14:paraId="188979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-0</w:t>
            </w:r>
          </w:p>
        </w:tc>
        <w:tc>
          <w:tcPr>
            <w:tcW w:w="2339" w:type="dxa"/>
            <w:vAlign w:val="center"/>
          </w:tcPr>
          <w:p w14:paraId="3994E4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  <w:p w14:paraId="49684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</w:p>
          <w:p w14:paraId="2CF246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27</w:t>
            </w:r>
          </w:p>
          <w:p w14:paraId="14B7AB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  <w:p w14:paraId="520AB9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18</w:t>
            </w:r>
          </w:p>
          <w:p w14:paraId="4DB1F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2347" w:type="dxa"/>
            <w:vAlign w:val="center"/>
          </w:tcPr>
          <w:p w14:paraId="49B761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</w:t>
            </w:r>
          </w:p>
          <w:p w14:paraId="755B1C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</w:t>
            </w:r>
          </w:p>
          <w:p w14:paraId="0A5437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  <w:p w14:paraId="2F1B52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40</w:t>
            </w:r>
          </w:p>
          <w:p w14:paraId="1312C0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  <w:p w14:paraId="593638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2306" w:type="dxa"/>
            <w:vAlign w:val="center"/>
          </w:tcPr>
          <w:p w14:paraId="29483F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</w:p>
          <w:p w14:paraId="591C6D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35</w:t>
            </w:r>
          </w:p>
          <w:p w14:paraId="6E4358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  <w:p w14:paraId="5E806D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  <w:p w14:paraId="3AE285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  <w:p w14:paraId="42A063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</w:tr>
      <w:tr w14:paraId="72ABB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3" w:type="dxa"/>
            <w:vAlign w:val="center"/>
          </w:tcPr>
          <w:p w14:paraId="19B102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39" w:type="dxa"/>
            <w:vAlign w:val="center"/>
          </w:tcPr>
          <w:p w14:paraId="1DB0A2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100,0</w:t>
            </w:r>
          </w:p>
        </w:tc>
        <w:tc>
          <w:tcPr>
            <w:tcW w:w="2347" w:type="dxa"/>
            <w:vAlign w:val="center"/>
          </w:tcPr>
          <w:p w14:paraId="2B0B5F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100,0</w:t>
            </w:r>
          </w:p>
        </w:tc>
        <w:tc>
          <w:tcPr>
            <w:tcW w:w="2306" w:type="dxa"/>
            <w:vAlign w:val="center"/>
          </w:tcPr>
          <w:p w14:paraId="4CDA75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</w:t>
            </w:r>
          </w:p>
        </w:tc>
      </w:tr>
    </w:tbl>
    <w:p w14:paraId="2E4C8605">
      <w:pPr>
        <w:rPr>
          <w:rFonts w:hint="default"/>
          <w:lang w:val="ru-RU"/>
        </w:rPr>
      </w:pPr>
    </w:p>
    <w:p w14:paraId="2E28BA72">
      <w:pPr>
        <w:numPr>
          <w:ilvl w:val="0"/>
          <w:numId w:val="3"/>
        </w:numPr>
        <w:ind w:left="70" w:leftChars="0" w:firstLine="0" w:firstLineChars="0"/>
        <w:rPr>
          <w:rFonts w:hint="default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>Содержание класса -0,074 мм в исходном материале 55%. В продуктах классификации оно составило в сливе 90%, в песках – 7%. Определить общую и уточненную эффективность классификации по классу -0,074 мм.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F0ED29"/>
    <w:multiLevelType w:val="singleLevel"/>
    <w:tmpl w:val="A4F0ED29"/>
    <w:lvl w:ilvl="0" w:tentative="0">
      <w:start w:val="4"/>
      <w:numFmt w:val="decimal"/>
      <w:suff w:val="space"/>
      <w:lvlText w:val="%1."/>
      <w:lvlJc w:val="left"/>
    </w:lvl>
  </w:abstractNum>
  <w:abstractNum w:abstractNumId="1">
    <w:nsid w:val="F1E395C3"/>
    <w:multiLevelType w:val="singleLevel"/>
    <w:tmpl w:val="F1E395C3"/>
    <w:lvl w:ilvl="0" w:tentative="0">
      <w:start w:val="3"/>
      <w:numFmt w:val="decimal"/>
      <w:suff w:val="space"/>
      <w:lvlText w:val="%1)"/>
      <w:lvlJc w:val="left"/>
    </w:lvl>
  </w:abstractNum>
  <w:abstractNum w:abstractNumId="2">
    <w:nsid w:val="1A3F7C19"/>
    <w:multiLevelType w:val="singleLevel"/>
    <w:tmpl w:val="1A3F7C19"/>
    <w:lvl w:ilvl="0" w:tentative="0">
      <w:start w:val="9"/>
      <w:numFmt w:val="decimal"/>
      <w:suff w:val="space"/>
      <w:lvlText w:val="%1."/>
      <w:lvlJc w:val="left"/>
      <w:pPr>
        <w:ind w:left="70" w:leftChars="0" w:firstLine="0" w:firstLineChars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2F7D63"/>
    <w:rsid w:val="0A520ACF"/>
    <w:rsid w:val="4EF7764F"/>
    <w:rsid w:val="5FBD4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mf"/><Relationship Id="rId8" Type="http://schemas.openxmlformats.org/officeDocument/2006/relationships/oleObject" Target="embeddings/oleObject2.bin"/><Relationship Id="rId7" Type="http://schemas.openxmlformats.org/officeDocument/2006/relationships/image" Target="media/image1.w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3.wmf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2025-09-26T04:47:00Z</dcterms:created>
  <dc:creator>User</dc:creator>
  <cp:lastModifiedBy>User</cp:lastModifiedBy>
  <dcterms:modified xsi:type="dcterms:W3CDTF">2025-09-30T09:54:51Z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F39603CF32BC48B1BB9162E5E35D3E49_12</vt:lpwstr>
  </property>
</Properties>
</file>